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SächsDSchG (Sachsen) — Maßnahmen der Denkmalschutzbehörden</w:t>
      </w:r>
    </w:p>
    <w:p>
      <w:r>
        <w:rPr>
          <w:color w:val="555555"/>
          <w:sz w:val="18"/>
        </w:rPr>
        <w:t xml:space="preserve">Sächsisches Denkmalschutzgesetz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Denkmalschutzbehörden haben zur Wahrnehmung ihrer Aufgaben diejenigen Maßnahmen zu treffen, die ihnen nach pflichtgemäßem Ermessen erforderlich erscheinen.</w:t>
      </w:r>
    </w:p>
    <w:p>
      <w:r>
        <w:t xml:space="preserve">(2) Die Denkmalschutzbehörden können insbesondere anordnen, dass bei widerrechtlicher Beeinträchtigung, Beschädigung oder Zerstörung eines Kulturdenkmales der vorherige Zustand nach ihrer Anweisung wiederherzustellen ist.</w:t>
      </w:r>
    </w:p>
    <w:p>
      <w:r>
        <w:t xml:space="preserve">(3) Die Vorschriften der §§ 14 , 15 und 17 des Sächsischen Polizeibehördengesetzes vom 11. Mai 2019 (SächsGVBl. S. 358, 389), in der jeweils geltenden Fassung, finden sinngemäß Anwendung.</w:t>
      </w:r>
    </w:p>
    <w:p>
      <w:r>
        <w:rPr>
          <w:color w:val="555555"/>
          <w:sz w:val="17"/>
        </w:rPr>
        <w:t xml:space="preserve">Zitiervorschlag: § 11 SächsDSchG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https://recht.nulegal.eu/gesetze/S%C3%A4chsDSchG/11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SächsDSchG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