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SächsDSchG (Sachsen) — Aufgabe</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Denkmalschutz und Denkmalpflege haben die Aufgabe, die Kulturdenkmale zu schützen und zu pflegen, insbesondere deren Zustand zu überwachen, auf die Abwendung von Gefährdungen und die Bergung von Kulturdenkmalen hinzuwirken und diese zu erfassen und wissenschaftlich zu erforschen.</w:t>
      </w:r>
    </w:p>
    <w:p>
      <w:r>
        <w:t xml:space="preserve">(2) Diese Aufgabe wird vom Freistaat Sachsen und im Rahmen ihrer Leistungsfähigkeit von den Gemeinden und den Landkreisen erfüllt. Sie wirken dabei mit Eigentümern und Besitzern von Kulturdenkmalen zusammen.</w:t>
      </w:r>
    </w:p>
    <w:p>
      <w:r>
        <w:t xml:space="preserve">(3) Die Belange des Denkmalschutzes und der Denkmalpflege sind bei allen öffentlichen Planungen und Maßnahmen angemessen zu berücksichtigen.</w:t>
      </w:r>
    </w:p>
    <w:p>
      <w:r>
        <w:t xml:space="preserve">(4) Die Belange von Menschen mit Behinderungen oder mit Mobilitätsbeeinträchtigungen sind zu berücksichtigen.</w:t>
      </w:r>
    </w:p>
    <w:p>
      <w:r>
        <w:rPr>
          <w:color w:val="555555"/>
          <w:sz w:val="17"/>
        </w:rPr>
        <w:t xml:space="preserve">Zitiervorschlag: § 1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