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SächsDSUG (Sachsen) — Berichtigung und Löschung personenbezogener Daten sowie Einschränkung der Verarbeitung</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Verantwortliche hat personenbezogene Daten zu berichtigen, wenn sie unrichtig sind.</w:t>
      </w:r>
    </w:p>
    <w:p>
      <w:r>
        <w:t xml:space="preserve">(2) Der Verantwortliche hat personenbezogene Daten unverzüglich zu löschen, wenn ihre Verarbeitung unzulässig ist, sie zur Erfüllung einer rechtlichen Verpflichtung gelöscht werden müssen oder ihre Kenntnis für seine Aufgabenerfüllung nicht mehr erforderlich ist.</w:t>
      </w:r>
    </w:p>
    <w:p>
      <w:r>
        <w:t xml:space="preserve">(3) § 14 Absatz 3 bis 5 gilt entsprechend. Sind personenbezogene Daten unrechtmäßig übermittelt worden, ist auch dies dem Empfänger mitzuteilen.</w:t>
      </w:r>
    </w:p>
    <w:p>
      <w:r>
        <w:t xml:space="preserve">(4) Der Verantwortliche hat für die Löschung personenbezogener Daten oder eine regelmäßige Überprüfung der Notwendigkeit ihrer Speicherung angemessene Fristen vorzusehen und durch verfahrensrechtliche, organisatorische und technische Vorkehrungen sicherzustellen, dass diese Fristen eingehalten werden.</w:t>
      </w:r>
    </w:p>
    <w:p>
      <w:r>
        <w:t xml:space="preserve">(5) Soweit der Verantwortliche verpflichtet ist, Unterlagen dem Sächsischen Staatsarchiv zur Übernahme anzubieten, ist eine Löschung oder Vernichtung erst zulässig, nachdem die Unterlagen dem Sächsischen Staatsarchiv angeboten und von diesem als nicht archivwürdig bewertet worden sind oder über die Archivwürdigkeit nicht fristgemäß gemäß § 5 Absatz 6 des Archivgesetzes für den Freistaat Sachsen vom 17. Mai 1993 (SächsGVBl. S. 449), das zuletzt durch Artikel 25 des Gesetzes vom 26. April 2018 (SächsGVBl. S. 198) geändert worden ist, in der jeweils geltenden Fassung, entschieden worden ist. Die Einschränkung der Verarbeitung personenbezogener Daten lässt die Anbietungspflicht nach dem Archivgesetz für den Freistaat Sachsen unberührt. Die Sätze 1 und 2 gelten auch bei entsprechenden Festlegungen der Träger von Archiven sonstiger öffentlicher Stellen nach dem Dritten Abschnitt des Archivgesetzes für den Freistaat Sachsen .</w:t>
      </w:r>
    </w:p>
    <w:p>
      <w:r>
        <w:rPr>
          <w:color w:val="555555"/>
          <w:sz w:val="17"/>
        </w:rPr>
        <w:t xml:space="preserve">Zitiervorschlag: § 31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https://recht.nulegal.eu/gesetze/S%C3%A4chsDSUG/31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