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29 SächsDSUG (Sachsen) — Unterscheidung zwischen Tatsachen und persönlichen Einschätzungen</w:t>
      </w:r>
    </w:p>
    <w:p>
      <w:r>
        <w:rPr>
          <w:color w:val="555555"/>
          <w:sz w:val="18"/>
        </w:rPr>
        <w:t xml:space="preserve">Sächsisches Datenschutz-Umsetzungsgesetz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Bei der Verarbeitung personenbezogener Daten hat der Verantwortliche soweit möglich danach zu unterscheiden, ob personenbezogene Daten auf Tatsachen oder auf persönlichen Einschätzungen beruhen. Zu diesem Zweck soll er, soweit dies im Rahmen der jeweiligen Verarbeitung möglich und angemessen ist, Beurteilungen, die auf persönlichen Einschätzungen beruhen, als solche kenntlich machen. Es muss außerdem feststellbar sein, welche Stelle die Unterlagen führt, die der auf einer persönlichen Einschätzung beruhenden Beurteilung zugrunde liegen.</w:t>
      </w:r>
    </w:p>
    <w:p>
      <w:r>
        <w:rPr>
          <w:color w:val="555555"/>
          <w:sz w:val="17"/>
        </w:rPr>
        <w:t xml:space="preserve">Zitiervorschlag: § 29 SächsDSUG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https://recht.nulegal.eu/gesetze/S%C3%A4chsDSUG/29</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