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SächsDSDG (Sachsen) — Verantwortung bei der Übermittlung personenbezogener Daten</w:t>
      </w:r>
    </w:p>
    <w:p>
      <w:r>
        <w:rPr>
          <w:color w:val="555555"/>
          <w:sz w:val="18"/>
        </w:rPr>
        <w:t xml:space="preserve">Sächsisches Datenschutzdurchführungsgesetz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Verantwortung für die Zulässigkeit der Übermittlung personenbezogener Daten trägt die übermittelnde Stelle. Erfolgt die Übermittlung auf Ersuchen einer öffentlichen Stelle, trägt diese die Verantwortung. In diesem Fall prüft die übermittelnde Stelle nur, ob das Übermittlungsersuchen im Rahmen der Aufgaben des Empfängers liegt, es sei denn, es besteht besonderer Anlass zur Prüfung der Zulässigkeit der Übermittlung.</w:t>
      </w:r>
    </w:p>
    <w:p>
      <w:r>
        <w:t xml:space="preserve">(2) Erfolgt die Übermittlung durch automatisierten Abruf, trägt die Verantwortung für die Rechtmäßigkeit des Abrufes die abrufende öffentliche Stelle.</w:t>
      </w:r>
    </w:p>
    <w:p>
      <w:r>
        <w:rPr>
          <w:color w:val="555555"/>
          <w:sz w:val="17"/>
        </w:rPr>
        <w:t xml:space="preserve">Zitiervorschlag: § 6 SächsDSDG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https://recht.nulegal.eu/gesetze/S%C3%A4chsDSDG/6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