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SächsDSDG (Sachsen) — Einschränkung eines Grundrechts</w:t>
      </w:r>
    </w:p>
    <w:p>
      <w:r>
        <w:rPr>
          <w:color w:val="555555"/>
          <w:sz w:val="18"/>
        </w:rPr>
        <w:t xml:space="preserve">Sächsisches Datenschutzdurchführungsgesetz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Grundrecht auf informationelle Selbstbestimmung nach Artikel 33 der Verfassung des Freistaates Sachsen wird durch dieses Gesetz eingeschränkt.</w:t>
      </w:r>
    </w:p>
    <w:p>
      <w:r>
        <w:rPr>
          <w:color w:val="555555"/>
          <w:sz w:val="17"/>
        </w:rPr>
        <w:t xml:space="preserve">Zitiervorschlag: § 23 SächsDSDG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https://recht.nulegal.eu/gesetze/S%C3%A4chsDSDG/23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SächsDSDG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