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SächsDSDG (Sachsen) — Pflicht zur Information des Sächsischen Datenschutzbeauftragten</w:t>
      </w:r>
    </w:p>
    <w:p>
      <w:r>
        <w:rPr>
          <w:color w:val="555555"/>
          <w:sz w:val="18"/>
        </w:rPr>
        <w:t xml:space="preserve">Sächsisches Datenschutzdurchführungsgesetz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öffentlichen Stellen haben den Sächsischen Datenschutzbeauftragten über den beabsichtigten Erlass von Verwaltungsvorschriften, soweit sie das Recht auf informationelle Selbstbestimmung betreffen, zu informieren.</w:t>
      </w:r>
    </w:p>
    <w:p>
      <w:r>
        <w:rPr>
          <w:color w:val="555555"/>
          <w:sz w:val="17"/>
        </w:rPr>
        <w:t xml:space="preserve">Zitiervorschlag: § 20 SächsDSDG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https://recht.nulegal.eu/gesetze/S%C3%A4chsDSDG/20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