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SächsDRZustVO (Sachsen) — Zuständigkeiten in Disziplinarverfahren</w:t>
      </w:r>
    </w:p>
    <w:p>
      <w:r>
        <w:rPr>
          <w:color w:val="555555"/>
          <w:sz w:val="18"/>
        </w:rPr>
        <w:t xml:space="preserve">Sächsische Dienstrechtszuständigkeitsverordnung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Kürzung der Dienstbezüge bis zum Höchstmaß und die Erhebung der Disziplinarklage ist der Präsident des Landesamtes für Schule und Bildung für die ihm unterstellten Beamten der Laufbahngruppe 1 und der ersten Einstiegsebene der Laufbahngruppe 2 und im öffentlichen Schuldienst für die Beamten der Laufbahngruppe 2 zuständig.</w:t>
      </w:r>
    </w:p>
    <w:p>
      <w:r>
        <w:t xml:space="preserve">(2) Für den Erlass des Widerspruchsbescheides bei Widersprüchen gegen Verweise und Einstellungsverfügungen nach § 32 Absatz 1 Nummer 2 und 3 des Sächsischen Disziplinargesetzes des Landesamtes für Schule und Bildung ist die Ausgangsbehörde zuständig.</w:t>
      </w:r>
    </w:p>
    <w:p>
      <w:r>
        <w:rPr>
          <w:color w:val="555555"/>
          <w:sz w:val="17"/>
        </w:rPr>
        <w:t xml:space="preserve">Zitiervorschlag: § 9 SächsDRZustVO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https://recht.nulegal.eu/gesetze/S%C3%A4chsDRZustVO/9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