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SächsDRZustVO (Sachsen) — Zuständigkeiten in Disziplinarverfahren</w:t>
      </w:r>
    </w:p>
    <w:p>
      <w:r>
        <w:rPr>
          <w:color w:val="555555"/>
          <w:sz w:val="18"/>
        </w:rPr>
        <w:t xml:space="preserve">Sächsische Dienstrechtszuständigkeitsverordnung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Kürzung der Dienstbezüge bis zum Höchstmaß und die Erhebung der Disziplinarklage ist der Leiter der Ernennungsbehörde für die ihm unterstellten Beamten der Laufbahngruppe 1 und der ersten Einstiegsebene der Laufbahngruppe 2 bis einschließlich der Besoldungsgruppe A 13 zuständig.</w:t>
      </w:r>
    </w:p>
    <w:p>
      <w:r>
        <w:t xml:space="preserve">(2) Für den Erlass des Widerspruchsbescheides bei Widersprüchen gegen Disziplinar- und Einstellungsverfügungen, die gegenüber Beamten der Laufbahngruppe 1 und der ersten Einstiegsebene der Laufbahngruppe 2 bis einschließlich der Besoldungsgruppe A 13 ergangen sind, ist die Ausgangsbehörde zuständig.</w:t>
      </w:r>
    </w:p>
    <w:p>
      <w:r>
        <w:rPr>
          <w:color w:val="555555"/>
          <w:sz w:val="17"/>
        </w:rPr>
        <w:t xml:space="preserve">Zitiervorschlag: § 4 SächsDRZustVO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https://recht.nulegal.eu/gesetze/S%C3%A4chsDRZustVO/4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