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SächsDRZustVO (Sachsen) — Zuständigkeiten in Verfahren nach dem Beamtenstatusgesetz und dem Sächsischen Beamtengesetz</w:t>
      </w:r>
    </w:p>
    <w:p>
      <w:r>
        <w:rPr>
          <w:color w:val="555555"/>
          <w:sz w:val="18"/>
        </w:rPr>
        <w:t xml:space="preserve">Sächsische Dienstrechtszuständigkeitsverordnung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Erteilung der Zustimmung zur Annahme von Belohnungen, Geschenken und sonstigen Vorteilen gemäß § 42 Absatz 1 Satz 2 BeamtStG sind die besonderen Staatsbehörden für die ihnen angehörenden Beamten zuständig.</w:t>
      </w:r>
    </w:p>
    <w:p>
      <w:r>
        <w:t xml:space="preserve">(2) Das Staatsministerium für Umwelt und Landwirtschaft zieht die Zuständigkeit des Dienstvorgesetzten nach § 106 SächsBG für Beamte der zweiten Einstiegsebene der Laufbahngruppe 2 an sich.</w:t>
      </w:r>
    </w:p>
    <w:p>
      <w:r>
        <w:rPr>
          <w:color w:val="555555"/>
          <w:sz w:val="17"/>
        </w:rPr>
        <w:t xml:space="preserve">Zitiervorschlag: § 19 SächsDRZustVO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https://recht.nulegal.eu/gesetze/S%C3%A4chsDRZustVO/19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SächsDRZustVO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