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SächsDG (Sachsen) — Zurückstufung</w:t>
      </w:r>
    </w:p>
    <w:p>
      <w:r>
        <w:rPr>
          <w:color w:val="555555"/>
          <w:sz w:val="18"/>
        </w:rPr>
        <w:t xml:space="preserve">Sächsisches Disziplinargesetz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Zurückstufung ist die Versetzung der Beamtin oder des Beamten in ein Amt derselben Laufbahn mit geringerem Endgrundgehalt. Die Beamtin oder der Beamte verliert alle Rechte aus dem bisherigen Amt einschließlich der damit verbundenen Dienstbezüge und der Befugnis, die bisherige Amtsbezeichnung zu führen. Soweit in der Entscheidung nichts anderes bestimmt ist, enden mit der Zurückstufung auch die Ehrenämter und die Nebentätigkeiten, welche die Beamtin oder der Beamte im Zusammenhang mit dem bisherigen Amt oder auf Verlangen, Vorschlag oder Veranlassung der oder des Dienstvorgesetzten übernommen hat.</w:t>
      </w:r>
    </w:p>
    <w:p>
      <w:r>
        <w:t xml:space="preserve">(2) Die Dienstbezüge aus dem neuen Amt werden von dem Kalendermonat an gezahlt, der dem Eintritt der Unanfechtbarkeit der Entscheidung folgt. Tritt die Beamtin oder der Beamte vor Eintritt der Unanfechtbarkeit der Entscheidung in den Ruhestand, erhält sie oder er Versorgungsbezüge nach der in der Entscheidung bestimmten Besoldungsgruppe.</w:t>
      </w:r>
    </w:p>
    <w:p>
      <w:r>
        <w:t xml:space="preserve">(3) Der Beamtin oder dem Beamten darf frühestens fünf Jahre nach Eintritt der Unanfechtbarkeit der Entscheidung ein Amt mit höherem Endgrundgehalt verliehen werden. Der Zeitraum kann in der Entscheidung verkürzt werden, sofern dies im Hinblick auf die Dauer des Disziplinarverfahrens angezeigt ist.</w:t>
      </w:r>
    </w:p>
    <w:p>
      <w:r>
        <w:t xml:space="preserve">(4) Die Rechtsfolgen der Zurückstufung erstrecken sich auch auf ein neues Beamtenverhältnis zu demselben oder zu einem anderen Dienstherrn, für dessen Beamtinnen und Beamte das Sächsische Beamtengesetz gilt. Hierbei steht die Einstellung in einem höheren Amt als dem, in das die Beamtin oder der Beamte zurückgestuft wurde, der Verleihung eines Amtes mit höherem Endgrundgehalt nach Absatz 3 gleich.</w:t>
      </w:r>
    </w:p>
    <w:p>
      <w:r>
        <w:rPr>
          <w:color w:val="555555"/>
          <w:sz w:val="17"/>
        </w:rPr>
        <w:t xml:space="preserve">Zitiervorschlag: § 9 SächsDG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https://recht.nulegal.eu/gesetze/S%C3%A4chsDG/9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SächsDG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