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 SächsDG (Sachsen) — Übergangsvorschrift</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Auf vor dem Inkrafttreten des Sächsischen Disziplinargesetzes vom 10. April 2007 (SächsGVBl. S. 54), das zuletzt durch Artikel 8 Absatz 7 des Gesetzes vom 6. Juli 2023 (SächsGVBl. S. 467) geändert worden ist, eingeleitete Disziplinarverfahren ist die Disziplinarordnung für den Freistaat Sachsen vom 28. Februar 1994 (SächsGVBl. S. 333), die zuletzt durch Artikel 7 des Gesetzes vom 25. August 2003 (SächsGVBl. S. 330, 341) geändert worden ist, und die Verordnung der Sächsischen Staatsregierung über die Dienstbezüge im Sinne der Disziplinarordnung vom 20. März 1996 (SächsGVBl. S. 122) anzuwenden.</w:t>
      </w:r>
    </w:p>
    <w:p>
      <w:r>
        <w:t xml:space="preserve">(2) Gebühren nach § 79 werden nur für nach dem 27. April 2007 anhängig werdende gerichtliche Verfahren sowie für Verfahren über nach diesem Tag eingelegte Rechtsmittel oder Rechtsbehelfe erhoben.</w:t>
      </w:r>
    </w:p>
    <w:p>
      <w:r>
        <w:rPr>
          <w:color w:val="555555"/>
          <w:sz w:val="17"/>
        </w:rPr>
        <w:t xml:space="preserve">Zitiervorschlag: § 89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https://recht.nulegal.eu/gesetze/S%C3%A4chsDG/89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