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 SächsDG (Sachsen) — Statthaftigkeit, Form und Frist der Beschwerde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Statthaftigkeit, Form und Frist der Beschwerde gelten die §§ 146 und 147 der Verwaltungsgerichtsordnung .</w:t>
      </w:r>
    </w:p>
    <w:p>
      <w:r>
        <w:t xml:space="preserve">(2) Gegen Beschlüsse des Verwaltungsgerichts, durch die nach § 60 Absatz 1 über eine Disziplinarklage entschieden wird, kann die Beschwerde nur auf das Fehlen der Zustimmung der Beteiligten gestützt werden.</w:t>
      </w:r>
    </w:p>
    <w:p>
      <w:r>
        <w:t xml:space="preserve">(3) Für das Beschwerdeverfahren gegen Beschlüsse des Verwaltungsgerichts über eine Aussetzung nach § 64 gilt § 146 Absatz 4 der Verwaltungsgerichtsordnung entsprechend.</w:t>
      </w:r>
    </w:p>
    <w:p>
      <w:r>
        <w:t xml:space="preserve">(4) Die Beschwerde gegen einen Beschluss des Verwaltungsgerichts, mit dem eine Anordnung nach § 38 Absatz 1 ausgesetzt wurde, hat aufschiebende Wirkung.</w:t>
      </w:r>
    </w:p>
    <w:p>
      <w:r>
        <w:rPr>
          <w:color w:val="555555"/>
          <w:sz w:val="17"/>
        </w:rPr>
        <w:t xml:space="preserve">Zitiervorschlag: § 68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