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55 SächsDG (Sachsen) — Belehrung der Beamtin oder des Beamten</w:t>
      </w:r>
    </w:p>
    <w:p>
      <w:r>
        <w:rPr>
          <w:color w:val="555555"/>
          <w:sz w:val="18"/>
        </w:rPr>
        <w:t xml:space="preserve">Sächsisches Disziplinargesetz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Beamtin oder der Beamte ist von der oder dem Vorsitzenden gleichzeitig mit der Zustellung der Disziplinarklage oder der Nachtragsdisziplinarklage auf die Fristen des § 56 Absatz 1 und des § 59 Absatz 2 sowie auf die Folgen der Fristversäumung hinzuweisen.</w:t>
      </w:r>
    </w:p>
    <w:p>
      <w:r>
        <w:rPr>
          <w:color w:val="555555"/>
          <w:sz w:val="17"/>
        </w:rPr>
        <w:t xml:space="preserve">Zitiervorschlag: § 55 SächsDG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https://recht.nulegal.eu/gesetze/S%C3%A4chsDG/55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55 SächsDG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