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 SächsDG (Sachsen) — Zuständigkeit der Verwaltungsgerichtsbarkeit</w:t>
      </w:r>
    </w:p>
    <w:p>
      <w:r>
        <w:rPr>
          <w:color w:val="555555"/>
          <w:sz w:val="18"/>
        </w:rPr>
        <w:t xml:space="preserve">Sächsisches Disziplinargesetz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Aufgaben der Disziplinargerichtsbarkeit nach diesem Gesetz und nach den §§ 52 bis 63 des Bundesdisziplinargesetzes nehmen das Verwaltungsgericht Dresden, das Sächsische Oberverwaltungsgericht und das Bundesverwaltungsgericht wahr.</w:t>
      </w:r>
    </w:p>
    <w:p>
      <w:r>
        <w:t xml:space="preserve">(2) Beim Verwaltungsgericht Dresden wird eine Kammer für Disziplinarsachen und beim Sächsischen Oberverwaltungsgericht ein Senat für Disziplinarsachen gebildet.</w:t>
      </w:r>
    </w:p>
    <w:p>
      <w:r>
        <w:rPr>
          <w:color w:val="555555"/>
          <w:sz w:val="17"/>
        </w:rPr>
        <w:t xml:space="preserve">Zitiervorschlag: § 45 SächsDG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https://recht.nulegal.eu/gesetze/S%C3%A4chsDG/45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 SächsDG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