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41 SächsDG (Sachsen) — Erforderlichkeit, Form und Frist des Widerspruchs</w:t>
      </w:r>
    </w:p>
    <w:p>
      <w:r>
        <w:rPr>
          <w:color w:val="555555"/>
          <w:sz w:val="18"/>
        </w:rPr>
        <w:t xml:space="preserve">Sächsisches Disziplinargesetz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Vor der Erhebung der Klage der Beamtin oder des Beamten ist ein Widerspruchsverfahren durchzuführen. Ein Widerspruchsverfahren findet nicht statt, wenn die angefochtene Entscheidung von der obersten Dienstbehörde erlassen worden ist.</w:t>
      </w:r>
    </w:p>
    <w:p>
      <w:r>
        <w:t xml:space="preserve">(2) Für die Form und Frist des Widerspruchs gilt § 70 der Verwaltungsgerichtsordnung .</w:t>
      </w:r>
    </w:p>
    <w:p>
      <w:r>
        <w:rPr>
          <w:color w:val="555555"/>
          <w:sz w:val="17"/>
        </w:rPr>
        <w:t xml:space="preserve">Zitiervorschlag: § 41 SächsDG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https://recht.nulegal.eu/gesetze/S%C3%A4chsDG/41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41 SächsDG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