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SächsDG (Sachsen) — Verfall und Nachzahlung der einbehaltenen Dienst- oder Anwärterbezüge</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nach § 38 Absatz 2 und 3 einbehaltenen Dienst- oder Anwärterbezüge verfallen, wenn</w:t>
      </w:r>
    </w:p>
    <w:p>
      <w:r>
        <w:t xml:space="preserve">1. im Disziplinarverfahren auf Entfernung aus dem Beamtenverhältnis oder auf Aberkennung des Ruhegehalts erkannt worden ist,</w:t>
      </w:r>
    </w:p>
    <w:p>
      <w:r>
        <w:t xml:space="preserve">2. in einem wegen desselben Sachverhalts eingeleiteten Strafverfahren eine Strafe verhängt worden ist, die den Verlust der Rechte als Beamtin, Beamter, Ruhestandsbeamtin oder Ruhestandsbeamter zur Folge hat,</w:t>
      </w:r>
    </w:p>
    <w:p>
      <w:r>
        <w:t xml:space="preserve">3. das Disziplinarverfahren aufgrund des § 32 Absatz 1 Nummer 3 eingestellt worden ist und ein neues Disziplinarverfahren, das innerhalb von drei Monaten nach der Einstellung wegen desselben Sachverhalts eingeleitet worden ist, zur Entfernung aus dem Beamtenverhältnis oder zur Aberkennung des Ruhegehalts geführt hat oder</w:t>
      </w:r>
    </w:p>
    <w:p>
      <w:r>
        <w:t xml:space="preserve">4. das Disziplinarverfahren aus den Gründen des § 32 Absatz 2 Nummer 2 oder 3 eingestellt worden ist und die für die Erhebung der Disziplinarklage zuständige Behörde festgestellt hat, dass die Entfernung aus dem Beamtenverhältnis oder die Aberkennung des Ruhegehalts gerechtfertigt gewesen wäre.</w:t>
      </w:r>
    </w:p>
    <w:p>
      <w:r>
        <w:t xml:space="preserve">(2) Wird das Disziplinarverfahren auf andere Weise als in den Fällen des Absatzes 1 unanfechtbar abgeschlossen, sind die nach § 38 Absatz 2 und 3 einbehaltenen Dienst- oder Anwärterbezüge nachzuzahlen. Auf die nachzuzahlenden Dienstbezüge können Einkünfte aus Nebentätigkeiten (§ 101 des Sächsischen Beamtengesetzes ) angerechnet werden, welche die Beamtin oder der Beamte aus Anlass der vorläufigen Dienstenthebung ausgeübt hat, wenn eine Disziplinarmaßnahme verhängt worden ist oder die für die Erhebung der Disziplinarklage zuständige Behörde feststellt, dass ein Dienstvergehen erwiesen ist. Die Beamtin oder der Beamte ist verpflichtet, über die Höhe solcher Einkünfte Auskunft zu geben.</w:t>
      </w:r>
    </w:p>
    <w:p>
      <w:r>
        <w:rPr>
          <w:color w:val="555555"/>
          <w:sz w:val="17"/>
        </w:rPr>
        <w:t xml:space="preserve">Zitiervorschlag: § 40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