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SächsDG (Sachsen) — Erhebung der Disziplinarklage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Soll gegen die Beamtin oder den Beamten auf Zurückstufung, Entfernung aus dem Beamtenverhältnis oder Aberkennung des Ruhegehalts erkannt werden, ist gegen sie oder ihn Disziplinarklage zu erheben.</w:t>
      </w:r>
    </w:p>
    <w:p>
      <w:r>
        <w:t xml:space="preserve">(2) Die Disziplinarklage wird bei Beamtinnen und Beamten von der obersten Dienstbehörde, bei Ruhestandsbeamtinnen und Ruhestandsbeamten von den nach § 87 zur Ausübung der Disziplinarbefugnis zuständigen Dienstvorgesetzten erhoben. Die oberste Dienstbehörde kann ihre Befugnisse nach Satz 1 durch Rechtsverordnung ganz oder teilweise auf nachgeordnete Dienstvorgesetzte übertragen. § 17 Absatz 1 Satz 2 sowie Absatz 3 und 4 gilt entsprechend.</w:t>
      </w:r>
    </w:p>
    <w:p>
      <w:r>
        <w:rPr>
          <w:color w:val="555555"/>
          <w:sz w:val="17"/>
        </w:rPr>
        <w:t xml:space="preserve">Zitiervorschlag: § 34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https://recht.nulegal.eu/gesetze/S%C3%A4chsDG/34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