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SächsDG (Sachsen) — Disziplinarverfügung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Ist ein Verweis, eine Geldbuße, eine Kürzung der Dienstbezüge oder eine Kürzung des Ruhegehalts angezeigt, wird eine solche Maßnahme durch Disziplinarverfügung ausgesprochen.</w:t>
      </w:r>
    </w:p>
    <w:p>
      <w:r>
        <w:t xml:space="preserve">(2) Jede und jeder Dienstvorgesetzte ist zu Verweisen und zur Verhängung von Geldbußen gegen die ihr oder ihm unterstellten Beamtinnen und Beamten befugt.</w:t>
      </w:r>
    </w:p>
    <w:p>
      <w:r>
        <w:t xml:space="preserve">(3) Kürzungen der Dienstbezüge können festsetzen:</w:t>
      </w:r>
    </w:p>
    <w:p>
      <w:r>
        <w:t xml:space="preserve">1. die oberste Dienstbehörde bis zum Höchstmaß und</w:t>
      </w:r>
    </w:p>
    <w:p>
      <w:r>
        <w:t xml:space="preserve">2. die der obersten Dienstbehörde unmittelbar nachgeordneten Dienstvorgesetzten bis zu einer Kürzung um ein Fünftel der Dienstbezüge auf zwei Jahre.</w:t>
      </w:r>
    </w:p>
    <w:p>
      <w:r>
        <w:t xml:space="preserve">(4) Kürzungen des Ruhegehalts bis zum Höchstmaß kann die oder der nach § 87 zur Ausübung der Disziplinarbefugnisse zuständige Dienstvorgesetzte festsetzen.</w:t>
      </w:r>
    </w:p>
    <w:p>
      <w:r>
        <w:t xml:space="preserve">(5) Die oberste Dienstbehörde kann ihre Befugnisse nach Absatz 3 Nummer 1 durch Rechtsverordnung ganz oder teilweise auf nachgeordnete Dienstvorgesetzte übertragen.</w:t>
      </w:r>
    </w:p>
    <w:p>
      <w:r>
        <w:t xml:space="preserve">(6) Die Disziplinarverfügung ist zu begründen und zuzustellen.</w:t>
      </w:r>
    </w:p>
    <w:p>
      <w:r>
        <w:rPr>
          <w:color w:val="555555"/>
          <w:sz w:val="17"/>
        </w:rPr>
        <w:t xml:space="preserve">Zitiervorschlag: § 33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https://recht.nulegal.eu/gesetze/S%C3%A4chsDG/33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