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SächsCorBG (Sachsen) — Errichtung des Fonds</w:t>
      </w:r>
    </w:p>
    <w:p>
      <w:r>
        <w:rPr>
          <w:color w:val="555555"/>
          <w:sz w:val="18"/>
        </w:rPr>
        <w:t xml:space="preserve">Sächsisches Coronabewältigungsfondsgesetz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errichtet ein Sondervermögen „Corona-Bewältigungsfonds Sachsen“.</w:t>
      </w:r>
    </w:p>
    <w:p>
      <w:r>
        <w:rPr>
          <w:color w:val="555555"/>
          <w:sz w:val="17"/>
        </w:rPr>
        <w:t xml:space="preserve">Zitiervorschlag: § 1 SächsCorBG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https://recht.nulegal.eu/gesetze/S%C3%A4chsCorBG/1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SächsCorBG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