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SächsBrexitÜG (Sachsen)</w:t>
      </w:r>
    </w:p>
    <w:p>
      <w:r>
        <w:rPr>
          <w:color w:val="555555"/>
          <w:sz w:val="18"/>
        </w:rPr>
        <w:t xml:space="preserve">Sächsisches Brexit-Übergangsgesetz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13. März 2019 das folgende Gesetz beschlossen:</w:t>
      </w:r>
    </w:p>
    <w:p>
      <w:r>
        <w:rPr>
          <w:color w:val="555555"/>
          <w:sz w:val="17"/>
        </w:rPr>
        <w:t xml:space="preserve">Zitiervorschlag: Eingangsformel SächsBrexitÜG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https://recht.nulegal.eu/gesetze/S%C3%A4chsBrexit%C3%9CG/eingangsformel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SächsBrexitÜG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