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SächsBhVO (Sachsen) — Arzneimittel</w:t>
      </w:r>
    </w:p>
    <w:p>
      <w:r>
        <w:rPr>
          <w:color w:val="555555"/>
          <w:sz w:val="18"/>
        </w:rPr>
        <w:t xml:space="preserve">Sächsische Beihilfeverordnung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Arzneimittel sind die in § 2 Absatz 1, 2 Nummer 1, Absatz 3a und 4 des Arzneimittelgesetzes in der Fassung der Bekanntmachung vom 12. Dezember 2005 (BGBl. I S. 3394), das zuletzt durch Artikel 1a des Gesetzes vom 7. November 2022 (BGBl. I S. 1990) geändert worden ist, in der jeweils geltenden Fassung, genannten Stoffe, Zubereitungen aus Stoffen, Gegenstände oder Erzeugnisse.</w:t>
      </w:r>
    </w:p>
    <w:p>
      <w:r>
        <w:t xml:space="preserve">(2) Aufwendungen für aus Anlass einer Krankheit ärztlich, zahnärztlich oder von Heilpraktikerinnen oder Heilpraktikern schriftlich verordnete Arzneimittel sind beihilfefähig, wenn diese bestimmt sind, durch Einwirkung auf den menschlichen Körper der Heilung oder Linderung einer Erkrankung oder der Erkennung eines Krankheitsbildes zu dienen. Aufwendungen für Arzneimittel zur Vorbeugung gegen Rachitis und Karies sind bei Kindern bis zum vollendeten dritten Lebensjahr beihilfefähig. Beihilfefähig sind auch gesondert ausgewiesene Versandkosten.</w:t>
      </w:r>
    </w:p>
    <w:p>
      <w:r>
        <w:t xml:space="preserve">(3) Nicht beihilfefähig sind Aufwendungen für Arzneimittel, die</w:t>
      </w:r>
    </w:p>
    <w:p>
      <w:r>
        <w:t xml:space="preserve">1. überwiegend zur Behandlung von sexuellen Dysfunktionen, der Anreizung oder Steigerung der sexuellen Potenz, zur Raucherentwöhnung, zur Abmagerung oder zur Zügelung des Appetits oder zur Regulierung des Körpergewichts dienen oder</w:t>
      </w:r>
    </w:p>
    <w:p>
      <w:r>
        <w:t xml:space="preserve">2. der allgemeinen Lebenshaltung zuzurechnen sind. Das ist dann der Fall, wenn das Arzneimittel nach seiner objektiven Zweckbestimmung üblicherweise auch von Gesunden benutzt wird.</w:t>
      </w:r>
    </w:p>
    <w:p>
      <w:r>
        <w:rPr>
          <w:color w:val="555555"/>
          <w:sz w:val="17"/>
        </w:rPr>
        <w:t xml:space="preserve">Zitiervorschlag: § 21 SächsBhVO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https://recht.nulegal.eu/gesetze/S%C3%A4chsBhVO/21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