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8a SächsBestG (Sachsen) — Gräber der Opfer von Krieg und Gewaltherrschaft</w:t>
      </w:r>
    </w:p>
    <w:p>
      <w:r>
        <w:rPr>
          <w:color w:val="555555"/>
          <w:sz w:val="18"/>
        </w:rPr>
        <w:t xml:space="preserve">Sächsisches Bestattungsgesetz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sind zuständig für die Feststellung und Erhaltung der Gräber sowie die Auskunftserteilung nach § 5 des Gesetzes über die Erhaltung der Gräber der Opfer von Krieg und Gewaltherrschaft ( Gräbergesetz ) in der Fassung der Bekanntmachung vom 9. August 2005 (BGBl. I S. 2426), in der jeweils geltenden Fassung.</w:t>
      </w:r>
    </w:p>
    <w:p>
      <w:r>
        <w:t xml:space="preserve">(2) Die Landesdirektion Sachsen ist zuständig für</w:t>
      </w:r>
    </w:p>
    <w:p>
      <w:r>
        <w:t xml:space="preserve">1. die Gewährung der Ruherechtsentschädigung nach § 3 des Gräbergesetzes ,</w:t>
      </w:r>
    </w:p>
    <w:p>
      <w:r>
        <w:t xml:space="preserve">2. die Übernahme eines Grundstücks nach § 4 des Gräbergesetzes ,</w:t>
      </w:r>
    </w:p>
    <w:p>
      <w:r>
        <w:t xml:space="preserve">3. die Zustimmung zu Verlegungen nach § 6 des Gräbergesetzes und</w:t>
      </w:r>
    </w:p>
    <w:p>
      <w:r>
        <w:t xml:space="preserve">4. die Anordnung einer Ausbettung und Identifizierung nach § 8 des Gräbergesetzes .</w:t>
      </w:r>
    </w:p>
    <w:p>
      <w:r>
        <w:t xml:space="preserve">(3) Die vom Bund nach § 10 Gräbergesetz ausgereichten Mittel werden durch die Landesdirektion Sachsen an die Gemeinden weitergeleitet.</w:t>
      </w:r>
    </w:p>
    <w:p>
      <w:r>
        <w:rPr>
          <w:color w:val="555555"/>
          <w:sz w:val="17"/>
        </w:rPr>
        <w:t xml:space="preserve">Zitiervorschlag: § 8a SächsBestG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https://recht.nulegal.eu/gesetze/S%C3%A4chsBestG/8a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