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6a SächsBestG (Sachsen) — Ruherecht für Angehörige der Bundeswehr</w:t>
      </w:r>
    </w:p>
    <w:p>
      <w:r>
        <w:rPr>
          <w:color w:val="555555"/>
          <w:sz w:val="18"/>
        </w:rPr>
        <w:t xml:space="preserve">Sächsisches Bestattungsgesetz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Ehrengräber von Angehörigen der Bundeswehr, deren Tod bei oder infolge einer besonderen Auslandsverwendung im Sinne des § 63b des Gesetzes über die Versorgung für die ehemaligen Soldaten der Bundeswehr und ihre Hinterbliebenen ( Soldatenversorgungsgesetz – SVG ) in der Fassung der Bekanntmachung vom 16. September 2009 (BGBl. I S. 3054), das zuletzt durch Artikel 14 des Gesetzes vom 21. Juli 2012 (BGBl. I S. 1583, 1595) geändert worden ist, eingetreten ist, ist in der Benutzungsordnung (§ 7 Abs. 1) vorzusehen, dass das Grab auch nach Ablauf der Ruhezeit auf Dauer bestehen bleibt (dauerndes Ruherecht). Das dauernde Ruherecht ruht als öffentliche Last auf dem Grundstück.</w:t>
      </w:r>
    </w:p>
    <w:p>
      <w:r>
        <w:t xml:space="preserve">(2) Der Friedhofsträger hat gegen den Freistaat Sachsen Anspruch auf Erstattung des mit dem dauernden Ruherecht entstehenden Vermögensnachteils. Die Höhe bemisst sich nach der ortsüblichen Grabnutzungsgebühr und der Friedhofsunterhaltungsgebühr.</w:t>
      </w:r>
    </w:p>
    <w:p>
      <w:r>
        <w:t xml:space="preserve">(3) Absatz 1 findet keine Anwendung, wenn der Tote in einer mehrstelligen Grabstätte (Wahl- oder Gemeinschaftsgrabanlage) bestattet ist, in der bereits ein Toter beigesetzt ist oder noch beigesetzt werden kann, dessen Grab nicht unter Absatz 1 fällt.</w:t>
      </w:r>
    </w:p>
    <w:p>
      <w:r>
        <w:t xml:space="preserve">(4) Die Gemeinde hat die auf ihrem Gebiet liegenden Gräber zu erhalten, es sei denn, es handelt sich um ein Grab, dessen Erhaltung Angehörige des Verstorbenen oder Dritte zeitweilig oder dauerhaft übernommen haben (privat gepflegtes Grab). Maßnahmen der Erhaltung sind insbesondere die Instandsetzung und die Grabpflege. Der Freistaat Sachsen erstattet der Gemeinde die notwendigen Aufwendungen für die Erhaltung der Gräber.</w:t>
      </w:r>
    </w:p>
    <w:p>
      <w:r>
        <w:t xml:space="preserve">(5) Die Gemeinde hat auf Antrag der Angehörigen die Erhaltung eines privat gepflegten Grabes zu übernehmen, wenn die erste Liegezeit bereits abgelaufen ist.</w:t>
      </w:r>
    </w:p>
    <w:p>
      <w:r>
        <w:t xml:space="preserve">(6) Zuständige Behörde für die Erstattung des Vermögensnachteils nach Absatz 2 und der Aufwendungen nach Absatz 4 ist die Landesdirektion Sachsen.</w:t>
      </w:r>
    </w:p>
    <w:p>
      <w:r>
        <w:rPr>
          <w:color w:val="555555"/>
          <w:sz w:val="17"/>
        </w:rPr>
        <w:t xml:space="preserve">Zitiervorschlag: § 6a SächsBestG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https://recht.nulegal.eu/gesetze/S%C3%A4chsBestG/6a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6a SächsBestG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