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SächsBestG (Sachsen) — Bestatter, Totengräber</w:t>
      </w:r>
    </w:p>
    <w:p>
      <w:r>
        <w:rPr>
          <w:color w:val="555555"/>
          <w:sz w:val="18"/>
        </w:rPr>
        <w:t xml:space="preserve">Sächsisches Bestattungsgesetz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gewerbs- oder berufsmäßig die Reinigung, Ankleidung oder Einsargung von Leichen vornimmt (Bestatter, Heimbürgen), oder wer die Tätigkeit eines Totengräbers ausübt, darf nicht im Nahrungs-, Genußmittel- oder Gaststättengewerbe, als Hebamme oder Entbindungspfleger oder als Kosmetiker oder Friseur tätig sein oder dem Personenkreis im Sinne des § 33 IfSG angehören oder in diesen Bereichen von anderen beschäftigt werden. Das Grundrecht der freien Berufsausübung (Artikel 12 Abs. 1 des Grundgesetzes , Artikel 28 Abs. 1 der Verfassung des Freistaates Sachsen ) wird insoweit eingeschränkt.</w:t>
      </w:r>
    </w:p>
    <w:p>
      <w:r>
        <w:t xml:space="preserve">(2) Die Bestatter, Heimbürgen und Totengräber haben über das, was ihnen in ihrer Eigenschaft als Bestatter, Heimbürgen oder Totengräber anvertraut oder bekannt geworden ist, zu schweigen. Sie sind zur Offenbarung befugt, wenn sie von der Schweigepflicht von dem gemäß § 10 Abs. 1 Verpflichteten entbunden wurden oder soweit die Offenbarung zum Schutz eines höherwertigen Rechtsgutes erforderlich ist.</w:t>
      </w:r>
    </w:p>
    <w:p>
      <w:r>
        <w:t xml:space="preserve">(3) Die Tätigkeit der Bestatter und Totengräber unterliegt hinsichtlich der Einhaltung von Hygienevorschriften der Aufsicht des Gesundheitsamtes.</w:t>
      </w:r>
    </w:p>
    <w:p>
      <w:r>
        <w:rPr>
          <w:color w:val="555555"/>
          <w:sz w:val="17"/>
        </w:rPr>
        <w:t xml:space="preserve">Zitiervorschlag: § 21 SächsBestG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https://recht.nulegal.eu/gesetze/S%C3%A4chsBestG/21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