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SächsBesG (Sachsen)</w:t>
      </w:r>
    </w:p>
    <w:p>
      <w:r>
        <w:rPr>
          <w:color w:val="555555"/>
          <w:sz w:val="18"/>
        </w:rPr>
        <w:t xml:space="preserve">Sächsisches Besoldungsgesetz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Juli 2023</w:t>
      </w:r>
    </w:p>
    <w:p>
      <w:r>
        <w:rPr>
          <w:color w:val="555555"/>
          <w:sz w:val="17"/>
        </w:rPr>
        <w:t xml:space="preserve">Zitiervorschlag: Eingangsformel SächsBesG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https://recht.nulegal.eu/gesetze/S%C3%A4chsBesG/eingangsformel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