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SächsBesG (Sachsen) — Steuerprüfungszulage</w:t>
      </w:r>
    </w:p>
    <w:p>
      <w:r>
        <w:rPr>
          <w:color w:val="555555"/>
          <w:sz w:val="18"/>
        </w:rPr>
        <w:t xml:space="preserve">Sächsisches Besoldungsgesetz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in der zweiten Einstiegsebene der Laufbahngruppe 1 oder der ersten Einstiegsebene der Laufbahngruppe 2 der Fachrichtung Finanz- und Steuerverwaltung überwiegend im Außendienst der Steuerprüfung verwendet wird, erhält eine Stellenzulage.</w:t>
      </w:r>
    </w:p>
    <w:p>
      <w:r>
        <w:t xml:space="preserve">(2) Die Stellenzulage wird nicht neben einer Stellenzulage nach § 46 gewährt.</w:t>
      </w:r>
    </w:p>
    <w:p>
      <w:r>
        <w:rPr>
          <w:color w:val="555555"/>
          <w:sz w:val="17"/>
        </w:rPr>
        <w:t xml:space="preserve">Zitiervorschlag: § 49 SächsBesG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https://recht.nulegal.eu/gesetze/S%C3%A4chsBesG/49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