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39 SächsBesG (Sachsen) — Grundlage des Familienzuschlags</w:t>
      </w:r>
    </w:p>
    <w:p>
      <w:r>
        <w:rPr>
          <w:color w:val="555555"/>
          <w:sz w:val="18"/>
        </w:rPr>
        <w:t xml:space="preserve">Sächsisches Besoldungsgesetz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Höhe des Familienzuschlags richtet sich nach der Besoldungsgruppe und der Stufe, die den Familienverhältnissen der besoldungsberechtigten Person entspricht. Die Beträge sind in der Anlage 6 ausgewiesen.</w:t>
      </w:r>
    </w:p>
    <w:p>
      <w:r>
        <w:rPr>
          <w:color w:val="555555"/>
          <w:sz w:val="17"/>
        </w:rPr>
        <w:t xml:space="preserve">Zitiervorschlag: § 39 SächsBesG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https://recht.nulegal.eu/gesetze/S%C3%A4chsBesG/39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