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SächsBesG (Sachsen) — Hauptberuflichkeit</w:t>
      </w:r>
    </w:p>
    <w:p>
      <w:r>
        <w:rPr>
          <w:color w:val="555555"/>
          <w:sz w:val="18"/>
        </w:rPr>
        <w:t xml:space="preserve">Sächsisches Besoldungsgesetz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Tatbestand der Hauptberuflichkeit einer Tätigkeit ist als erfüllt anzusehen, wenn sie entgeltlich ausgeübt wird, den Schwerpunkt der beruflichen Tätigkeit darstellt, in der Regel den überwiegenden Teil der Arbeitskraft beansprucht sowie dem durch Ausbildung und Berufswahl geprägten Berufsbild entspricht und in dem in einem Beamten- oder Richterverhältnis zulässigen Umfang abgeleistet wird; hierbei ist auf die beamten- und richterrechtlichen Vorschriften zum Zeitpunkt der Tätigkeit abzustellen.</w:t>
      </w:r>
    </w:p>
    <w:p>
      <w:r>
        <w:rPr>
          <w:color w:val="555555"/>
          <w:sz w:val="17"/>
        </w:rPr>
        <w:t xml:space="preserve">Zitiervorschlag: § 3 SächsBesG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https://recht.nulegal.eu/gesetze/S%C3%A4chsBesG/3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SächsBesG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