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SächsBergMarkAPO (Sachsen) — Geltungsbereich</w:t>
      </w:r>
    </w:p>
    <w:p>
      <w:r>
        <w:rPr>
          <w:color w:val="555555"/>
          <w:sz w:val="18"/>
        </w:rPr>
        <w:t xml:space="preserve">Sächsische Ausbildungs- und Prüfungsordnung Bergfach und Markscheidefach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regelt die Ausbildung und Prüfung im Vorbereitungsdienst für die zweite Einstiegsebene der Laufbahngruppe 2 der Fachrichtung Naturwissenschaft und Technik mit dem fachlichen Schwerpunkt technischer Verwaltungsdienst für Aufgaben im Bergfach und Markscheidefach.</w:t>
      </w:r>
    </w:p>
    <w:p>
      <w:r>
        <w:rPr>
          <w:color w:val="555555"/>
          <w:sz w:val="17"/>
        </w:rPr>
        <w:t xml:space="preserve">Zitiervorschlag: § 1 SächsBergMarkAPO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https://recht.nulegal.eu/gesetze/S%C3%A4chsBergMarkAPO/1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