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 SächsBeamtVG (Sachsen) — Nichtgewährung von Unfallfürsorge</w:t>
      </w:r>
    </w:p>
    <w:p>
      <w:r>
        <w:rPr>
          <w:color w:val="555555"/>
          <w:sz w:val="18"/>
        </w:rPr>
        <w:t xml:space="preserve">Sächsisches Beamtenversorgungsgesetz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Unfallfürsorge wird nicht gewährt, wenn Verletzte den Dienstunfall pflichtwidrig vorsätzlich herbeigeführt haben.</w:t>
      </w:r>
    </w:p>
    <w:p>
      <w:r>
        <w:rPr>
          <w:color w:val="555555"/>
          <w:sz w:val="17"/>
        </w:rPr>
        <w:t xml:space="preserve">Zitiervorschlag: § 49 SächsBeamtVG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https://recht.nulegal.eu/gesetze/S%C3%A4chsBeamtVG/49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