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SächsBadegewVO (Sachsen)</w:t>
      </w:r>
    </w:p>
    <w:p>
      <w:r>
        <w:rPr>
          <w:color w:val="555555"/>
          <w:sz w:val="18"/>
        </w:rPr>
        <w:t xml:space="preserve">Sächsische Badegewässer-Verordnung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4 des Sächsischen Wassergesetzes (SächsWG) in der Fassung der Bekanntmachung vom 18. Oktober 2004 (SächsGVBl. S. 482), das zuletzt durch Artikel 65 des Gesetzes vom 29. Januar 2008 (SächsGVBl. S. 138, 183) geändert worden ist, sowie § 16 Abs. 1 Satz 2 Nr. 1 des Gesetzes über die Verwaltungsorganisation des Freistaates Sachsen (Sächsisches Verwaltungsorganisationsgesetz – SächsVwOrgG) vom 25. November 2003 (SächsGVBl. S. 899), das zuletzt durch Artikel 1 des Gesetzes vom 29. Januar 2008 (SächsGVBl. S. 138, 140) geändert worden ist, wird verordnet:</w:t>
      </w:r>
    </w:p>
    <w:p>
      <w:r>
        <w:rPr>
          <w:color w:val="555555"/>
          <w:sz w:val="17"/>
        </w:rPr>
        <w:t xml:space="preserve">Zitiervorschlag: Eingangsformel SächsBadegewVO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https://recht.nulegal.eu/gesetze/S%C3%A4chsBadegewVO/eingangsformel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