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SächsBadegewVO (Sachsen) — Gefährdung durch Cyanobakterien, Makroalgen und Phytoplankton</w:t>
      </w:r>
    </w:p>
    <w:p>
      <w:r>
        <w:rPr>
          <w:color w:val="555555"/>
          <w:sz w:val="18"/>
        </w:rPr>
        <w:t xml:space="preserve">Sächsische Badegewässer-Verordnung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Sofern die Voraussetzungen des Artikels 9 Abs. 1 der Badegewässerrichtlinie vorliegen, veranlasst die untere Wasserbehörde angemessene Maßnahmen zur Vermeidung, Verringerung und Beseitigung der Ursachen einer Gewässerschmutzung. Für die Aufgaben nach Artikel 8 und 9 der Badegewässerrichtlinie im Übrigen ist das Gesundheitsamt zuständig. Zur Umsetzung wird auf Anlage 1 und insoweit auf die Befugnisse nach dem Abschnitt 13 der Trinkwasserverordnung , insbesondere auf deren § 58 verwiesen.</w:t>
      </w:r>
    </w:p>
    <w:p>
      <w:r>
        <w:rPr>
          <w:color w:val="555555"/>
          <w:sz w:val="17"/>
        </w:rPr>
        <w:t xml:space="preserve">Zitiervorschlag: § 8 SächsBadegewVO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https://recht.nulegal.eu/gesetze/S%C3%A4chsBadegewVO/8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