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SächsBadegewVO (Sachsen) — Inkrafttreten und Außerkrafttreten</w:t>
      </w:r>
    </w:p>
    <w:p>
      <w:r>
        <w:rPr>
          <w:color w:val="555555"/>
          <w:sz w:val="18"/>
        </w:rPr>
        <w:t xml:space="preserve">Sächsische Badegewässer-Verordnung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mit Wirkung vom 24. März 2008 in Kraft. Gleichzeitig tritt die Verordnung des Sächsischen Staatsministeriums für Umwelt und Landesentwicklung zur Umsetzung der Richtlinie 76/160/EWG über die Qualität der Badegewässer ( Sächsische Badegewässer-Verordnung – SächsBadegewV ) vom 5. Juni 1997 (SächsGVBl. S. 464), geändert durch Artikel 1 der Verordnung vom 23. November 2001 (SächsGVBl. S. 736), außer Kraft.</w:t>
      </w:r>
    </w:p>
    <w:p>
      <w:r>
        <w:t xml:space="preserve">(2) Am 1. August 2008 tritt an die Stelle des Landesamtes für Umwelt und Geologie das Landesamt für Umwelt, Landwirtschaft und Geologie.</w:t>
      </w:r>
    </w:p>
    <w:p>
      <w:r>
        <w:t xml:space="preserve">Dresden, den 15. April 2008</w:t>
      </w:r>
    </w:p>
    <w:p>
      <w:r>
        <w:t xml:space="preserve">Der Staatsminister für Umwelt und Landwirtschaft</w:t>
      </w:r>
    </w:p>
    <w:p>
      <w:r>
        <w:t xml:space="preserve">Prof. Dr. Roland Wöller</w:t>
      </w:r>
    </w:p>
    <w:p>
      <w:r>
        <w:t xml:space="preserve">Die Staatsministerin für Soziales</w:t>
      </w:r>
    </w:p>
    <w:p>
      <w:r>
        <w:t xml:space="preserve">Helma Orosz</w:t>
      </w:r>
    </w:p>
    <w:p>
      <w:r>
        <w:rPr>
          <w:color w:val="555555"/>
          <w:sz w:val="17"/>
        </w:rPr>
        <w:t xml:space="preserve">Zitiervorschlag: § 13 SächsBadegewVO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https://recht.nulegal.eu/gesetze/S%C3%A4chsBadegewVO/13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