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SächsBWEVO (Sachsen) — Anzuwendende Vorschriften</w:t>
      </w:r>
    </w:p>
    <w:p>
      <w:r>
        <w:rPr>
          <w:color w:val="555555"/>
          <w:sz w:val="18"/>
        </w:rPr>
        <w:t xml:space="preserve">Sächsische Bergwerkseigentumsverordnung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Einrichtung und Führung des Berggrundbuches gelten die Vorschriften der Verordnung zur Durchführung der Grundbuchordnung ( Grundbuchverfügung – GBV ) in der Fassung der Bekanntmachung vom 24. Januar 1995 (BGBl. I S. 114), zuletzt geändert durch Artikel 2 des Gesetzes vom 1. Oktober 2013 (BGBl. I S. 3719, 3721), in der jeweils geltenden Fassung, und der Verordnung des Sächsischen Staatsministeriums der Justiz und für Europa über den elektronischen Rechtsverkehr, die elektronische Aktenführung, die elektronischen Register und das maschinelle Grundbuch (Sächsische E-Justizverordnung – SächsEJustizVO ) vom 6. Juli 2010 (SächsGVBl. S. 190), zuletzt geändert durch Artikel 1 der Verordnung vom 5. März 2014 (SächsGVBl. S. 94, 95), in der jeweils geltenden Fassung entsprechend, soweit sich nicht aus den nachstehenden Vorschriften Abweichendes ergibt.</w:t>
      </w:r>
    </w:p>
    <w:p>
      <w:r>
        <w:rPr>
          <w:color w:val="555555"/>
          <w:sz w:val="17"/>
        </w:rPr>
        <w:t xml:space="preserve">Zitiervorschlag: § 2 SächsBWEVO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https://recht.nulegal.eu/gesetze/S%C3%A4chsBWEVO/2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