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SächsBQFG (Sachsen) — Zweck des Gesetzes</w:t>
      </w:r>
    </w:p>
    <w:p>
      <w:r>
        <w:rPr>
          <w:color w:val="555555"/>
          <w:sz w:val="18"/>
        </w:rPr>
        <w:t xml:space="preserve">Sächsisches Berufsqualifikationsfeststellungsgesetz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dient der besseren Nutzung von im Ausland erworbenen Berufsqualifikationen für den sächsischen Arbeitsmarkt, um eine qualifikationsnahe Beschäftigung zu ermöglichen.</w:t>
      </w:r>
    </w:p>
    <w:p>
      <w:r>
        <w:rPr>
          <w:color w:val="555555"/>
          <w:sz w:val="17"/>
        </w:rPr>
        <w:t xml:space="preserve">Zitiervorschlag: § 1 SächsBQFG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https://recht.nulegal.eu/gesetze/S%C3%A4chsBQFG/1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SächsBQFG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