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SächsBO (Sachsen) — Örtliche Bauvorschriften</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Gemeinden können durch Satzung örtliche Bauvorschriften erlassen über</w:t>
      </w:r>
    </w:p>
    <w:p>
      <w:r>
        <w:t xml:space="preserve">1. besondere Anforderungen an die äußere Gestaltung baulicher Anlagen sowie von Werbeanlagen und Warenautomaten zur Erhaltung und Gestaltung von Ortsbildern;</w:t>
      </w:r>
    </w:p>
    <w:p>
      <w:r>
        <w:t xml:space="preserve">2. das Verbot von Werbeanlagen und Warenautomaten aus ortsgestalterischen Gründen;</w:t>
      </w:r>
    </w:p>
    <w:p>
      <w:r>
        <w:t xml:space="preserve">3. die Lage, Größe, Beschaffenheit, Ausstattung und Unterhaltung von Kinderspielplätzen (§ 8 Absatz 2);</w:t>
      </w:r>
    </w:p>
    <w:p>
      <w:r>
        <w:t xml:space="preserve">4. die Zahl, Größe und Beschaffenheit der Stellplätze und Garagen, Fahrradabstellplätze sowie Gebäude für Fahrradabstellplätze (§ 49 Absatz 1), die unter Berücksichtigung der Sicherheit und Leichtigkeit des Verkehrs, der Bedürfnisse des ruhenden Verkehrs und der Erschließung durch Einrichtungen des öffentlichen Personennahverkehrs für Anlagen erforderlich sind, bei denen ein Zu- und Abgangsverkehr mit Kraftfahrzeugen oder Fahrrädern zu erwarten ist, einschließlich des Mehrbedarfs bei Änderungen und Nutzungsänderungen der Anlagen sowie die Ablösung der Herstellungspflicht, deren Voraussetzung und die Höhe der Ablösungsbeträge, die nach Art der Nutzung und Lage der Anlage unterschiedlich geregelt werden kann;</w:t>
      </w:r>
    </w:p>
    <w:p>
      <w:r>
        <w:t xml:space="preserve">5. die Gestaltung der Plätze für bewegliche Abfallbehälter und der unbebauten Flächen der bebauten Grundstücke sowie über die Notwendigkeit, Art, Gestaltung und Höhe von Einfriedungen; dabei kann bestimmt werden, dass Vorgärten nicht als Arbeitsflächen oder Lagerflächen benutzt werden dürfen;</w:t>
      </w:r>
    </w:p>
    <w:p>
      <w:r>
        <w:t xml:space="preserve">6. von § 6 abweichende Maße der Abstandsflächentiefe, soweit dies zur Gestaltung des Ortsbildes oder zur Verwirklichung der Festsetzungen einer städtebaulichen Satzung erforderlich ist und eine ausreichende Belichtung sowie der Brandschutz gewährleistet sind, sowie</w:t>
      </w:r>
    </w:p>
    <w:p>
      <w:r>
        <w:t xml:space="preserve">7. die Begrünung baulicher Anlagen.</w:t>
      </w:r>
    </w:p>
    <w:p>
      <w:r>
        <w:t xml:space="preserve">(2) Örtliche Bauvorschriften können auch durch Bebauungsplan oder, soweit das Baugesetzbuch dies vorsieht, durch andere Satzungen nach den Vorschriften des Baugesetzbuches erlassen werden. Werden die örtlichen Bauvorschriften durch Bebauungsplan oder durch eine sonstige städtebauliche Satzung nach dem Baugesetzbuch erlassen, sind die §§ 1 bis 4c, 8 bis 10a, 13 bis 18, 30, 31, 33, 36 und 214 bis 215 des Baugesetzbuches entsprechend anzuwenden.</w:t>
      </w:r>
    </w:p>
    <w:p>
      <w:r>
        <w:t xml:space="preserve">(3) Anforderungen nach den Absätzen 1 und 2 können innerhalb der örtlichen Bauvorschrift auch in Form zeichnerischer Darstellungen gestellt werden. Ihre Bekanntgabe kann dadurch ersetzt werden, dass dieser Teil der örtlichen Bauvorschrift bei der Gemeinde zur Einsicht ausgelegt wird. Hierauf ist in den örtlichen Bauvorschriften hinzuweisen.</w:t>
      </w:r>
    </w:p>
    <w:p>
      <w:r>
        <w:rPr>
          <w:color w:val="555555"/>
          <w:sz w:val="17"/>
        </w:rPr>
        <w:t xml:space="preserve">Zitiervorschlag: § 89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https://recht.nulegal.eu/gesetze/S%C3%A4chsBO/89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