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83 SächsBO (Sachsen) — Baulasten, Baulastenverzeichnis</w:t>
      </w:r>
    </w:p>
    <w:p>
      <w:r>
        <w:rPr>
          <w:color w:val="555555"/>
          <w:sz w:val="18"/>
        </w:rPr>
        <w:t xml:space="preserve">Sächsische Bauordnung</w:t>
      </w:r>
    </w:p>
    <w:p>
      <w:r>
        <w:rPr>
          <w:color w:val="555555"/>
          <w:sz w:val="18"/>
        </w:rPr>
        <w:t xml:space="preserve">Landesrecht Sachsen</w:t>
      </w:r>
    </w:p>
    <w:p>
      <w:r>
        <w:rPr>
          <w:color w:val="555555"/>
          <w:sz w:val="18"/>
        </w:rPr>
        <w:t xml:space="preserve">Stand: 26.08.2026 (konsolidierte Textfassung, kein amtliches Inkrafttretensdatum)</w:t>
      </w:r>
    </w:p>
    <w:p>
      <w:r>
        <w:t xml:space="preserve">(1) Durch Erklärung gegenüber der Bauaufsichtsbehörde können Grundstückseigentümer öffentlich-rechtliche Verpflichtungen zu einem ihre Grundstücke betreffenden Tun, Dulden oder Unterlassen übernehmen, die sich nicht schon aus öffentlich-rechtlichen Vorschriften ergeben. Baulasten werden unbeschadet der Rechte Dritter mit der Eintragung in das Baulastenverzeichnis wirksam und wirken auch gegenüber Rechtsnachfolgern.</w:t>
      </w:r>
    </w:p>
    <w:p>
      <w:r>
        <w:t xml:space="preserve">(2) Die Erklärung nach Absatz 1 bedarf der Schriftform. Die Unterschrift muss öffentlich beglaubigt oder vor der Bauaufsichtsbehörde geleistet oder von ihr anerkannt werden.</w:t>
      </w:r>
    </w:p>
    <w:p>
      <w:r>
        <w:t xml:space="preserve">(3) Die Baulast geht durch schriftlichen Verzicht der Bauaufsichtsbehörde unter. Der Verzicht ist zu erklären, wenn ein öffentliches Interesse an der Baulast nicht mehr besteht. Vor dem Verzicht sollen der Verpflichtete und die durch die Baulast Begünstigten angehört werden. Der Verzicht wird mit der Löschung der Baulast im Baulastenverzeichnis wirksam.</w:t>
      </w:r>
    </w:p>
    <w:p>
      <w:r>
        <w:t xml:space="preserve">(4) Das Baulastenverzeichnis wird von der Bauaufsichtsbehörde geführt. In das Baulastenverzeichnis können auch eingetragen werden</w:t>
      </w:r>
    </w:p>
    <w:p>
      <w:r>
        <w:t xml:space="preserve">1. andere baurechtliche Verpflichtungen des Grundstückseigentümers zu einem sein Grundstück betreffendes Tun, Dulden oder Unterlassen und</w:t>
      </w:r>
    </w:p>
    <w:p>
      <w:r>
        <w:t xml:space="preserve">2. Auflagen, Bedingungen, Befristungen und Widerrufsvorbehalte.</w:t>
      </w:r>
    </w:p>
    <w:p>
      <w:r>
        <w:t xml:space="preserve">(5) Wer ein berechtigtes Interesse darlegt, kann in das Baulastenverzeichnis Einsicht nehmen oder sich einen Auszug erstellen lassen.</w:t>
      </w:r>
    </w:p>
    <w:p>
      <w:r>
        <w:rPr>
          <w:color w:val="555555"/>
          <w:sz w:val="17"/>
        </w:rPr>
        <w:t xml:space="preserve">Zitiervorschlag: § 83 SächsBO (Sachsen)</w:t>
      </w:r>
    </w:p>
    <w:p>
      <w:r>
        <w:rPr>
          <w:color w:val="555555"/>
          <w:sz w:val="17"/>
        </w:rPr>
        <w:t xml:space="preserve">Quelle: revosax, abgerufen 26.08.2026</w:t>
      </w:r>
    </w:p>
    <w:p>
      <w:r>
        <w:rPr>
          <w:color w:val="555555"/>
          <w:sz w:val="17"/>
        </w:rPr>
        <w:t xml:space="preserve">Nicht-amtliche Lesefassung — verbindlich ist das Sächsische Gesetz- und Verordnungsblatt (Sächsische Staatskanzlei: https://www.sk.sachsen.de)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https://recht.nulegal.eu/gesetze/S%C3%A4chsBO/83</w:t>
      </w:r>
    </w:p>
    <w:p>
      <w:r>
        <w:rPr>
          <w:color w:val="767676"/>
          <w:sz w:val="15"/>
        </w:rPr>
        <w:t xml:space="preserve">nu:legal · recht.nulegal.eu · Nicht-amtliche Lesefassung. Amtliche Fassung: sk.sachsen.de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