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SächsBO (Sachsen) — Ersetzung des gemeindlichen Einvernehmens</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eine Gemeinde ihr nach § 14 Absatz 2 Satz 2, § 22 Absatz 5 Satz 1, § 36 Absatz 1 Satz 1 und 2 des Baugesetzbuches erforderliches Einvernehmen rechtswidrig versagt, ist das fehlende Einvernehmen nach Maßgabe der Absätze 2 bis 4 zu ersetzen.</w:t>
      </w:r>
    </w:p>
    <w:p>
      <w:r>
        <w:t xml:space="preserve">(2) § 114 der Sächsischen Gemeindeordnung in der Fassung der Bekanntmachung vom 9. März 2018 (SächsGVBl. S. 62), die zuletzt durch Artikel 1 des Gesetzes vom 9. Februar 2022 (SächsGVBl. S. 134) geändert worden ist, in der jeweils geltenden Fassung, findet keine Anwendung. §§ 115 und 116 der Sächsischen Gemeindeordnung finden nach Maßgabe der Absätze 1, 3 und 4 Anwendung.</w:t>
      </w:r>
    </w:p>
    <w:p>
      <w:r>
        <w:t xml:space="preserve">(3) Entscheidungen der Bauaufsichtsbehörde in Fällen des Absatzes 1 gelten im Hinblick auf das versagte Einvernehmen der Gemeinde zugleich als Ersatzvornahme im Sinne des § 116 der Sächsischen Gemeindeordnung . Sie sind insoweit zu begründen. Widerspruch und Anfechtungsklage haben auch insoweit keine aufschiebende Wirkung, als die Genehmigung als Ersatzvornahme gilt.</w:t>
      </w:r>
    </w:p>
    <w:p>
      <w:r>
        <w:t xml:space="preserve">(4) Die Gemeinde ist vor Erlass der Genehmigung anzuhören. Dabei ist ihr Gelegenheit zu geben, binnen angemessener Frist erneut über das gemeindliche Einvernehmen zu entscheiden.</w:t>
      </w:r>
    </w:p>
    <w:p>
      <w:r>
        <w:rPr>
          <w:color w:val="555555"/>
          <w:sz w:val="17"/>
        </w:rPr>
        <w:t xml:space="preserve">Zitiervorschlag: § 71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https://recht.nulegal.eu/gesetze/S%C3%A4chsBO/71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