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SächsBO (Sachsen) — Vereinfachtes Baugenehmigungsverfahren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Außer bei baulichen Anlagen nach § 62 Absatz 1 Satz 2 Nummer 1 und 2 prüft die Bauaufsichtsbehörde</w:t>
      </w:r>
    </w:p>
    <w:p>
      <w:r>
        <w:t xml:space="preserve">1. die Übereinstimmung mit den Vorschriften über die Zulässigkeit der baulichen Anlagen nach den §§ 29 bis 38 des Baugesetzbuches ;</w:t>
      </w:r>
    </w:p>
    <w:p>
      <w:r>
        <w:t xml:space="preserve">2. beantragte Abweichungen im Sinne des § 67 Absatz 1 und 2 Satz 2 sowie</w:t>
      </w:r>
    </w:p>
    <w:p>
      <w:r>
        <w:t xml:space="preserve">3. andere öffentlich-rechtliche Anforderungen, soweit wegen der Baugenehmigung eine Entscheidung nach anderen öffentlich-rechtlichen Vorschriften entfällt oder ersetzt wird.</w:t>
      </w:r>
    </w:p>
    <w:p>
      <w:r>
        <w:t xml:space="preserve">§ 66 bleibt unberührt.</w:t>
      </w:r>
    </w:p>
    <w:p>
      <w:r>
        <w:rPr>
          <w:color w:val="555555"/>
          <w:sz w:val="17"/>
        </w:rPr>
        <w:t xml:space="preserve">Zitiervorschlag: § 63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https://recht.nulegal.eu/gesetze/S%C3%A4chsBO/63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