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SächsBO (Sachsen) — Bauleiter</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Bauleiter hat darüber zu wachen, dass die Baumaßnahme entsprechend den öffentlich-rechtlichen Anforderungen durchgeführt wird und die dafür erforderlichen Weisungen zu erteilen. Er hat im Rahmen dieser Aufgabe auf den sicheren bautechnischen Betrieb der Baustelle, insbesondere auf das gefahrlose Ineinandergreifen der Arbeiten der Unternehmer, zu achten. Die Verantwortlichkeit der Unternehmer bleibt unberührt.</w:t>
      </w:r>
    </w:p>
    <w:p>
      <w:r>
        <w:t xml:space="preserve">(2) Der Bauleiter muss über die für seine Aufgabe erforderliche Sachkunde und Erfahrung verfügen. Verfügt er auf einzelnen Teilgebieten nicht über die erforderliche Sachkunde, sind geeignete Fachbauleiter heranzuziehen. Diese treten insoweit an die Stelle des Bauleiters. Der Bauleiter hat die Tätigkeit der Fachbauleiter und seine Tätigkeit aufeinander abzustimmen.</w:t>
      </w:r>
    </w:p>
    <w:p>
      <w:r>
        <w:rPr>
          <w:color w:val="555555"/>
          <w:sz w:val="17"/>
        </w:rPr>
        <w:t xml:space="preserve">Zitiervorschlag: § 56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https://recht.nulegal.eu/gesetze/S%C3%A4chsBO/56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