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SächsBO (Sachsen) — Grundpflichten</w:t>
      </w:r>
    </w:p>
    <w:p>
      <w:r>
        <w:rPr>
          <w:color w:val="555555"/>
          <w:sz w:val="18"/>
        </w:rPr>
        <w:t xml:space="preserve">Sächsische Bauordnung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Bei der Errichtung, Änderung, Nutzungsänderung und der Beseitigung von Anlagen sind der Bauherr und im Rahmen ihres Wirkungskreises die anderen am Bau Beteiligten dafür verantwortlich, dass die öffentlich-rechtlichen Vorschriften eingehalten werden.</w:t>
      </w:r>
    </w:p>
    <w:p>
      <w:r>
        <w:rPr>
          <w:color w:val="555555"/>
          <w:sz w:val="17"/>
        </w:rPr>
        <w:t xml:space="preserve">Zitiervorschlag: § 52 SächsBO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https://recht.nulegal.eu/gesetze/S%C3%A4chsBO/52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