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SächsBO (Sachsen) — Stellplätze, Garagen und Abstellplätze für Fahrräder</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nicht in örtlichen Bauvorschriften nach § 89 Absatz 1 Nummer 4 geregelt, sind für Anlagen, bei denen ein Zu- und Abgangsverkehr mit Kraftfahrzeugen oder Fahrrädern zu erwarten ist, Stellplätze und Garagen, Fahrradabstellplätze sowie Gebäude für Fahrradabstellplätze in dem erforderlichen Umfang auf dem Baugrundstück oder in zumutbarer Entfernung davon auf einem geeigneten Grundstück herzustellen, dessen Benutzung für diesen Zweck rechtlich gesichert ist (notwendige Stellplätze und Garagen, Fahrradabstellplätze sowie Gebäude für Fahrradabstellplätze). Dies gilt nicht, wenn bei einem rechtmäßig bestehenden Gebäude eine Wohnung geteilt oder Wohnraum durch Nutzungsänderung, durch Aufstocken des Gebäudes oder durch Ausbau des Dachraums geschaffen wird. Die Zahl, Größe und Beschaffenheit der notwendigen Stellplätze und Garagen, Fahrradabstellplätze sowie Gebäude für Fahrradabstellplätze einschließlich des Mehrbedarfs bei Änderungen und Nutzungsänderungen der Anlagen ist zu bestimmen unter Berücksichtigung der Sicherheit und Leichtigkeit des Verkehrs, der Bedürfnisse des ruhenden Verkehrs sowie der Erschließung durch Einrichtungen des öffentlichen Personennahverkehrs.</w:t>
      </w:r>
    </w:p>
    <w:p>
      <w:r>
        <w:t xml:space="preserve">(2) Erhebt die Gemeinde Ablösungsbeträge gemäß § 89 Absatz 1 Nummer 4, hat sie diese zu verwenden für</w:t>
      </w:r>
    </w:p>
    <w:p>
      <w:r>
        <w:t xml:space="preserve">1. die Herstellung zusätzlicher oder die Instandhaltung oder Modernisierung bestehender Parkeinrichtungen oder</w:t>
      </w:r>
    </w:p>
    <w:p>
      <w:r>
        <w:t xml:space="preserve">2. sonstige Maßnahmen zur Entlastung der Straßen vom ruhenden Verkehr einschließlich investiver Maßnahmen des öffentlichen Personennahverkehrs und der Förderung von öffentlichen Fahrradabstellplätzen.</w:t>
      </w:r>
    </w:p>
    <w:p>
      <w:r>
        <w:t xml:space="preserve">(3) Die Höhe der Ablösungsbeträge richtet sich nach Art der Nutzung und Lage der Anlage und darf 60 Prozent der durchschnittlichen Kosten eines Stellplatzes in diesem Gebiet nicht übersteigen.</w:t>
      </w:r>
    </w:p>
    <w:p>
      <w:r>
        <w:rPr>
          <w:color w:val="555555"/>
          <w:sz w:val="17"/>
        </w:rPr>
        <w:t xml:space="preserve">Zitiervorschlag: § 49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