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SächsBO (Sachsen) — Wohnungen</w:t>
      </w:r>
    </w:p>
    <w:p>
      <w:r>
        <w:rPr>
          <w:color w:val="555555"/>
          <w:sz w:val="18"/>
        </w:rPr>
        <w:t xml:space="preserve">Sächsische Bauordnung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 Wohnung muss eine Küche oder Kochnische haben. Fensterlose Küchen oder Kochnischen sind zulässig, wenn eine wirksame Lüftung gewährleistet ist.</w:t>
      </w:r>
    </w:p>
    <w:p>
      <w:r>
        <w:t xml:space="preserve">(2) In Wohngebäuden der Gebäudeklassen 3 bis 5 sind leicht erreichbare und gut zugängliche Abstellräume für Kinderwagen und Fahrräder sowie für jede Wohnung ein ausreichend großer Abstellraum herzustellen.</w:t>
      </w:r>
    </w:p>
    <w:p>
      <w:r>
        <w:t xml:space="preserve">(3) Jede Wohnung muss ein Bad mit Badewanne oder Dusche und eine Toilette haben.</w:t>
      </w:r>
    </w:p>
    <w:p>
      <w:r>
        <w:rPr>
          <w:color w:val="555555"/>
          <w:sz w:val="17"/>
        </w:rPr>
        <w:t xml:space="preserve">Zitiervorschlag: § 48 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https://recht.nulegal.eu/gesetze/S%C3%A4chsBO/48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