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SächsBO (Sachsen) — Sanitäre Anlagen, Wasserzähler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Fensterlose Bäder und Toiletten sind nur zulässig, wenn eine wirksame Lüftung gewährleistet ist.</w:t>
      </w:r>
    </w:p>
    <w:p>
      <w:r>
        <w:t xml:space="preserve">(2) Jede Wohnung muss einen eigenen Wasserzähler haben. Dies gilt nicht bei Nutzungsänderungen, wenn die Anforderung nach Satz 1 nur mit unverhältnismäßigem Mehraufwand erfüllt werden kann.</w:t>
      </w:r>
    </w:p>
    <w:p>
      <w:r>
        <w:t xml:space="preserve">(3) Wasserversorgungsanlagen sowie Anlagen für Schmutz- und Niederschlagswasser (Abwasser) sind so herzustellen und zu unterhalten, dass sie betriebssicher sind und Gefahren oder unzumutbare Belästigungen nicht entstehen können.</w:t>
      </w:r>
    </w:p>
    <w:p>
      <w:r>
        <w:rPr>
          <w:color w:val="555555"/>
          <w:sz w:val="17"/>
        </w:rPr>
        <w:t xml:space="preserve">Zitiervorschlag: § 43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https://recht.nulegal.eu/gesetze/S%C3%A4chsBO/43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