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SächsBO (Sachsen) — Allgemeine Anforderungen</w:t>
      </w:r>
    </w:p>
    <w:p>
      <w:r>
        <w:rPr>
          <w:color w:val="555555"/>
          <w:sz w:val="18"/>
        </w:rPr>
        <w:t xml:space="preserve">Sächsische Bauordnung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Anlagen sind so anzuordnen, zu errichten, zu ändern und instand zu halten, dass die öffentliche Sicherheit und Ordnung, insbesondere Leben, Gesundheit und die natürlichen Lebensgrundlagen, nicht gefährdet werden; dabei sind die Grundanforderungen an Bauwerke gemäß Anhang I der Verordnung (EU) Nr. 305/2011 zu berücksichtigen. Dies gilt auch für die Beseitigung von Anlagen und bei der Änderung ihrer Nutzung.</w:t>
      </w:r>
    </w:p>
    <w:p>
      <w:r>
        <w:rPr>
          <w:color w:val="555555"/>
          <w:sz w:val="17"/>
        </w:rPr>
        <w:t xml:space="preserve">Zitiervorschlag: § 3 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