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SächsBO (Sachsen) — Trennwände</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Trennwände nach Absatz 2 müssen als raumabschließende Bauteile von Räumen oder Nutzungseinheiten innerhalb von Geschossen ausreichend lang widerstandsfähig gegen die Brandausbreitung sein.</w:t>
      </w:r>
    </w:p>
    <w:p>
      <w:r>
        <w:t xml:space="preserve">(2) Trennwände sind erforderlich</w:t>
      </w:r>
    </w:p>
    <w:p>
      <w:r>
        <w:t xml:space="preserve">1. zwischen Nutzungseinheiten sowie zwischen Nutzungseinheiten und anders genutzten Räumen, ausgenommen notwendigen Fluren;</w:t>
      </w:r>
    </w:p>
    <w:p>
      <w:r>
        <w:t xml:space="preserve">2. zum Abschluss von Räumen mit Explosions- oder erhöhter Brandgefahr und</w:t>
      </w:r>
    </w:p>
    <w:p>
      <w:r>
        <w:t xml:space="preserve">3. zwischen Aufenthaltsräumen und anders genutzten Räumen im Kellergeschoss.</w:t>
      </w:r>
    </w:p>
    <w:p>
      <w:r>
        <w:t xml:space="preserve">(3) Trennwände nach Absatz 2 Nummer 1 und 3 müssen die Feuerwiderstandsfähigkeit der tragenden und aussteifenden Bauteile des Geschosses haben, jedoch mindestens feuerhemmend sein. Trennwände nach Absatz 2 Nummer 2 müssen feuerbeständig sein.</w:t>
      </w:r>
    </w:p>
    <w:p>
      <w:r>
        <w:t xml:space="preserve">(4) Die Trennwände nach Absatz 2 sind bis zur Rohdecke, im Dachraum bis unter die Dachhaut zu führen. Werden in Dachräumen Trennwände nur bis zur Rohdecke geführt, ist diese Decke als raumabschließendes Bauteil einschließlich der sie tragenden und aussteifenden Bauteile feuerhemmend herzustellen.</w:t>
      </w:r>
    </w:p>
    <w:p>
      <w:r>
        <w:t xml:space="preserve">(5) Öffnungen in Trennwänden nach Absatz 2 sind nur zulässig, wenn sie auf die für die Nutzung erforderliche Zahl und Größe beschränkt sind. Sie müssen feuerhemmende, dicht- und selbstschließende Abschlüsse haben.</w:t>
      </w:r>
    </w:p>
    <w:p>
      <w:r>
        <w:t xml:space="preserve">(6) Die Absätze 1 bis 5 gelten nicht für Wohngebäude der Gebäudeklassen 1 und 2.</w:t>
      </w:r>
    </w:p>
    <w:p>
      <w:r>
        <w:rPr>
          <w:color w:val="555555"/>
          <w:sz w:val="17"/>
        </w:rPr>
        <w:t xml:space="preserve">Zitiervorschlag: § 29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