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20 SächsBO (Sachsen) — Nachweis der Verwendbarkeit von Bauprodukten im Einzelfall</w:t>
      </w:r>
    </w:p>
    <w:p>
      <w:r>
        <w:rPr>
          <w:color w:val="555555"/>
          <w:sz w:val="18"/>
        </w:rPr>
        <w:t xml:space="preserve">Sächsische Bauordnung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Mit Zustimmung der obersten Bauaufsichtsbehörde dürfen unter den Voraussetzungen des § 17 Absatz 1 im Einzelfall Bauprodukte verwendet werden, wenn ihre Verwendbarkeit im Sinne des § 16b Absatz 1 nachgewiesen ist. Wenn Gefahren im Sinne des § 3 Satz 1 nicht zu erwarten sind, kann die oberste Bauaufsichtsbehörde im Einzelfall erklären, dass ihre Zustimmung nicht erforderlich ist.</w:t>
      </w:r>
    </w:p>
    <w:p>
      <w:r>
        <w:rPr>
          <w:color w:val="555555"/>
          <w:sz w:val="17"/>
        </w:rPr>
        <w:t xml:space="preserve">Zitiervorschlag: § 20 SächsBO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https://recht.nulegal.eu/gesetze/S%C3%A4chsBO/20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