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SächsBO (Sachsen) — Verkehrssicherheit</w:t>
      </w:r>
    </w:p>
    <w:p>
      <w:r>
        <w:rPr>
          <w:color w:val="555555"/>
          <w:sz w:val="18"/>
        </w:rPr>
        <w:t xml:space="preserve">Sächsische Bauordnung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Bauliche Anlagen und die dem Verkehr dienenden nicht überbauten Flächen von bebauten Grundstücken müssen verkehrssicher sein.</w:t>
      </w:r>
    </w:p>
    <w:p>
      <w:r>
        <w:t xml:space="preserve">(2) Die Sicherheit und Leichtigkeit des öffentlichen Verkehrs darf durch bauliche Anlagen oder deren Nutzung nicht gefährdet werden.</w:t>
      </w:r>
    </w:p>
    <w:p>
      <w:r>
        <w:rPr>
          <w:color w:val="555555"/>
          <w:sz w:val="17"/>
        </w:rPr>
        <w:t xml:space="preserve">Zitiervorschlag: § 16 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https://recht.nulegal.eu/gesetze/S%C3%A4chsBO/16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