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SächsBO (Sachsen) — Schutz gegen schädliche Einflüsse</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Bauliche Anlagen müssen so angeordnet, beschaffen und gebrauchstauglich sein, dass durch Wasser, Feuchtigkeit, pflanzliche und tierische Schädlinge sowie andere chemische, physikalische oder biologische Einflüsse Gefahren oder unzumutbare Belästigungen nicht entstehen. Baugrundstücke müssen für bauliche Anlagen geeignet sein.</w:t>
      </w:r>
    </w:p>
    <w:p>
      <w:r>
        <w:t xml:space="preserve">(2) Werden in Gebäuden Bauteile aus Holz oder anderen organischen Stoffen vom Hausbock oder vom echten Hausschwamm befallen, haben die für den ordnungsgemäßen Zustand des Gebäudes verantwortlichen Personen unverzüglich ein Fachunternehmen mit der Bekämpfung und Schadensbeseitigung auf Grundlage einer Sachverständigeneinschätzung zu beauftragen und der Bauaufsichtsbehörde die Beauftragung sowie den Abschluss der Arbeiten schriftlich anzuzeigen.</w:t>
      </w:r>
    </w:p>
    <w:p>
      <w:r>
        <w:rPr>
          <w:color w:val="555555"/>
          <w:sz w:val="17"/>
        </w:rPr>
        <w:t xml:space="preserve">Zitiervorschlag: § 13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